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06.03.18 - Creed - Tim Knipp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Talk about the Holy Spirit as our here and now connection with God. Discover what it means to live life in the Spirit.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things you thought about or cared about before you were a Christian? How did that change when you gave your life to Jesus?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Read: Romans 8:1-17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Ask someone to summarize this passage, or to explain a major theme.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of the qualities of life according to the flesh? What are some of the qualities of life according to the Spirit?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According to this passage, how does the Spirit connect us with God? (v.14-16)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the benefits and responsibilities of being children of God? (v.17)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it mean to set your mind on things of the flesh or things of the Spirit? (v.5)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examples of things that the Spirit desires? (v.5)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it mean to be led by the Spirit of God? (v.14)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 you think it looks like to live like God’s children?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connected to God do you feel you are in your everyday life? What does that look like?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Is there anything that keeps you from living in the Spirit? How can you invite the Holy Spirit into that part of your life?</w:t>
        <w:br w:type="textWrapping"/>
        <w:t xml:space="preserve">(Are there ways you’ve been living like a functional atheist? What does that mean?)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is someone you admire for their faith and connection with the Holy Spirit? How can you be more like them?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Prayer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