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4.14.19 - Isaiah: Light to the Nations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The Greatest Glory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What is one of your favorite Easter traditions or a special Easter memory you have?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pPr>
      <w:r w:rsidDel="00000000" w:rsidR="00000000" w:rsidRPr="00000000">
        <w:rPr>
          <w:b w:val="1"/>
          <w:rtl w:val="0"/>
        </w:rPr>
        <w:t xml:space="preserve">Read: Isaiah 52:13-15, 53:10-12</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Does anyone have any questions about this passage? Or observations that stand out to you immediately?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In 52:13, Isaiah declares that the servant will be “raised, lifted up, and highly exalted. How do we see this prophecy fulfilled in the life of Jesus?</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What do the words “appalled” and “sprinkle” signify in 52:14-15? How do they represent the paradoxical nature of Jesus as king?</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In 53:11, Isaiah says that the servant “bore the sin of many” (the nations, not just Israel)? How do you think your average Israelite would have reacted to this statement?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Isaiah 52:13 talks about the servant acting wisely or prospering and being exalted. How did Jesus “prosper” in his mission?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Read Philippians 2:1-11. How does Jesus model the self-giving love of the servant as described in Isaiah?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How is this a paradox or different from what you would expect of a messiah and king?</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5"/>
        </w:numPr>
        <w:ind w:left="720" w:hanging="360"/>
        <w:rPr>
          <w:u w:val="none"/>
        </w:rPr>
      </w:pPr>
      <w:r w:rsidDel="00000000" w:rsidR="00000000" w:rsidRPr="00000000">
        <w:rPr>
          <w:rtl w:val="0"/>
        </w:rPr>
        <w:t xml:space="preserve">What do we do with this paradoxical portrait of Jesus? Spend a few minutes as a group saying short prayers of thankfulness to God for who He is and how He chose to save us (try to focus only on prayers of thanks and not other kinds of prayers like requests, confession, etc)</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How do you define success for your life or how does our culture define success? How does God define it?</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Consider the Philippians passage for yourself personally. What kind of “glory” do we receive when we model our life after Jesus’ example of self-giving love? Have you experienced this greater joy of giving yourself to serve others? </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What are situations where you often feel God pulling your heart to be self-giving (even in little ways)? What stops you from responding?</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