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bolding them.</w:t>
      </w:r>
    </w:p>
    <w:p w:rsidR="00000000" w:rsidDel="00000000" w:rsidP="00000000" w:rsidRDefault="00000000" w:rsidRPr="00000000" w14:paraId="00000003">
      <w:pPr>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directive then in person.  Don’t be afraid to invite everyone to answer a question, invite them to share by name, and thank them when they finish.  The online format requires a little more intentional orchestrating then an in person group.</w:t>
      </w:r>
    </w:p>
    <w:p w:rsidR="00000000" w:rsidDel="00000000" w:rsidP="00000000" w:rsidRDefault="00000000" w:rsidRPr="00000000" w14:paraId="00000005">
      <w:pPr>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be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At the beginning of the year delegate different roles to people in your group as much as possible.  Even if they are small roles (the person who sets up the Zoom call or emails reminders out to people).  This is a great way to help people feel more connected and develop leadership in the group.</w:t>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one thing that has been hard and one thing that has been encouraging for you in the last week.</w:t>
      </w:r>
    </w:p>
    <w:p w:rsidR="00000000" w:rsidDel="00000000" w:rsidP="00000000" w:rsidRDefault="00000000" w:rsidRPr="00000000" w14:paraId="0000000F">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2">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Reread the entire passage surrounding today’s verse (John 8:48-59). Identify the claims Jesus makes about himself before claiming I AM. </w:t>
      </w:r>
    </w:p>
    <w:p w:rsidR="00000000" w:rsidDel="00000000" w:rsidP="00000000" w:rsidRDefault="00000000" w:rsidRPr="00000000" w14:paraId="00000013">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were the responses to Jesus’ claims? We know they were varied, but notice the different types of responses here, the different attitudes.</w:t>
      </w:r>
    </w:p>
    <w:p w:rsidR="00000000" w:rsidDel="00000000" w:rsidP="00000000" w:rsidRDefault="00000000" w:rsidRPr="00000000" w14:paraId="0000001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5">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6">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7">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John emphasizes the deity of Jesus again here. Read John 1:1-18 and talk about who John wants us to know Jesus is. Why is this important?</w:t>
      </w:r>
    </w:p>
    <w:p w:rsidR="00000000" w:rsidDel="00000000" w:rsidP="00000000" w:rsidRDefault="00000000" w:rsidRPr="00000000" w14:paraId="00000018">
      <w:pPr>
        <w:numPr>
          <w:ilvl w:val="0"/>
          <w:numId w:val="6"/>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Are there claims either here or in other passages that we still have to reckon with? Either the church as a whole or us as individuals?</w:t>
      </w:r>
    </w:p>
    <w:p w:rsidR="00000000" w:rsidDel="00000000" w:rsidP="00000000" w:rsidRDefault="00000000" w:rsidRPr="00000000" w14:paraId="00000019">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B">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1C">
      <w:pPr>
        <w:numPr>
          <w:ilvl w:val="0"/>
          <w:numId w:val="6"/>
        </w:numPr>
        <w:ind w:left="720" w:hanging="360"/>
        <w:rPr>
          <w:rFonts w:ascii="Montserrat" w:cs="Montserrat" w:eastAsia="Montserrat" w:hAnsi="Montserrat"/>
          <w:color w:val="202020"/>
        </w:rPr>
      </w:pPr>
      <w:r w:rsidDel="00000000" w:rsidR="00000000" w:rsidRPr="00000000">
        <w:rPr>
          <w:rFonts w:ascii="Montserrat" w:cs="Montserrat" w:eastAsia="Montserrat" w:hAnsi="Montserrat"/>
          <w:rtl w:val="0"/>
        </w:rPr>
        <w:t xml:space="preserve">Think about the Exodus, the persecution of the early church, the times of trouble for Christendom, and now our present time. What should the knowledge of I AM do for our outlook and perspective on the world and the Church.</w:t>
      </w:r>
      <w:r w:rsidDel="00000000" w:rsidR="00000000" w:rsidRPr="00000000">
        <w:rPr>
          <w:rtl w:val="0"/>
        </w:rPr>
      </w:r>
    </w:p>
    <w:p w:rsidR="00000000" w:rsidDel="00000000" w:rsidP="00000000" w:rsidRDefault="00000000" w:rsidRPr="00000000" w14:paraId="0000001D">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1E">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1F">
      <w:pPr>
        <w:ind w:left="0" w:firstLine="0"/>
        <w:rPr>
          <w:rFonts w:ascii="Montserrat" w:cs="Montserrat" w:eastAsia="Montserrat" w:hAnsi="Montserrat"/>
        </w:rPr>
      </w:pPr>
      <w:r w:rsidDel="00000000" w:rsidR="00000000" w:rsidRPr="00000000">
        <w:rPr>
          <w:rtl w:val="0"/>
        </w:rPr>
      </w:r>
    </w:p>
    <w:sectPr>
      <w:head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2">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3">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 AM series #1 - Christian Lindbeck</w:t>
    </w:r>
  </w:p>
  <w:p w:rsidR="00000000" w:rsidDel="00000000" w:rsidP="00000000" w:rsidRDefault="00000000" w:rsidRPr="00000000" w14:paraId="00000024">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October 4, 2020</w:t>
    </w:r>
    <w:r w:rsidDel="00000000" w:rsidR="00000000" w:rsidRPr="00000000">
      <w:rPr>
        <w:rtl w:val="0"/>
      </w:rPr>
    </w:r>
  </w:p>
  <w:p w:rsidR="00000000" w:rsidDel="00000000" w:rsidP="00000000" w:rsidRDefault="00000000" w:rsidRPr="00000000" w14:paraId="00000025">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