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Disclaimer before you read the text: This passage is very dark and violent. This story could be triggering for people who have dealt with past trauma and abuse.</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Start by praying for understanding. Ask God to show you his intention in reading this story.</w:t>
      </w:r>
    </w:p>
    <w:p w:rsidR="00000000" w:rsidDel="00000000" w:rsidP="00000000" w:rsidRDefault="00000000" w:rsidRPr="00000000" w14:paraId="0000000F">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Spend a few minutes thinking about injustice you've seen in and out of the Church.  Where do you long to see God bring justice?</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have you learned from being in Judges together this fall?</w:t>
      </w:r>
    </w:p>
    <w:p w:rsidR="00000000" w:rsidDel="00000000" w:rsidP="00000000" w:rsidRDefault="00000000" w:rsidRPr="00000000" w14:paraId="0000001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Judges 19-21</w:t>
      </w:r>
    </w:p>
    <w:p w:rsidR="00000000" w:rsidDel="00000000" w:rsidP="00000000" w:rsidRDefault="00000000" w:rsidRPr="00000000" w14:paraId="0000001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Check-in: Ask how people are feeling after reading the passage?</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tone of this passage? </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Look at the Levite man in this story; What does the author tell us about him? What do we learn about his character?</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the man respond to the abuse and death of his concubine? </w:t>
      </w:r>
    </w:p>
    <w:p w:rsidR="00000000" w:rsidDel="00000000" w:rsidP="00000000" w:rsidRDefault="00000000" w:rsidRPr="00000000" w14:paraId="0000001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the tribal leaders of Israel respond?</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Many times in Judges it says "They had no king and they did what was right in their own eyes" Where do we see that statement reflected in the actions of the Israelites?</w:t>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the Israelite tribes acted/responded the way they did? </w:t>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point do you think the author is trying to make by including this story?</w:t>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this story is supposed to bring out in the audience?</w:t>
      </w:r>
    </w:p>
    <w:p w:rsidR="00000000" w:rsidDel="00000000" w:rsidP="00000000" w:rsidRDefault="00000000" w:rsidRPr="00000000" w14:paraId="00000027">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are we to react?</w:t>
      </w:r>
    </w:p>
    <w:p w:rsidR="00000000" w:rsidDel="00000000" w:rsidP="00000000" w:rsidRDefault="00000000" w:rsidRPr="00000000" w14:paraId="00000028">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God wanted this story in the Bible?</w:t>
      </w:r>
    </w:p>
    <w:p w:rsidR="00000000" w:rsidDel="00000000" w:rsidP="00000000" w:rsidRDefault="00000000" w:rsidRPr="00000000" w14:paraId="00000029">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story start to point us to the coming of Jesus?</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D">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reading this, what do you think God might say about the sin and injustice around us today?</w:t>
      </w:r>
    </w:p>
    <w:p w:rsidR="00000000" w:rsidDel="00000000" w:rsidP="00000000" w:rsidRDefault="00000000" w:rsidRPr="00000000" w14:paraId="0000003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Tim shared that “God’s intention in this story was to be ruthlessly honest about sin” What does it mean for us today to be honest/raw about the sin history of those who follow Jesus? Both us and others. </w:t>
      </w:r>
    </w:p>
    <w:p w:rsidR="00000000" w:rsidDel="00000000" w:rsidP="00000000" w:rsidRDefault="00000000" w:rsidRPr="00000000" w14:paraId="00000031">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have you learned about God's fierce grace and love while reading Judges?</w:t>
      </w:r>
    </w:p>
    <w:p w:rsidR="00000000" w:rsidDel="00000000" w:rsidP="00000000" w:rsidRDefault="00000000" w:rsidRPr="00000000" w14:paraId="0000003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has your understanding of God changed after going through Judges?</w:t>
      </w:r>
    </w:p>
    <w:p w:rsidR="00000000" w:rsidDel="00000000" w:rsidP="00000000" w:rsidRDefault="00000000" w:rsidRPr="00000000" w14:paraId="0000003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5">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9">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Everyone Did What Was Right in Their Own Eyes - Tim</w:t>
    </w:r>
  </w:p>
  <w:p w:rsidR="00000000" w:rsidDel="00000000" w:rsidP="00000000" w:rsidRDefault="00000000" w:rsidRPr="00000000" w14:paraId="0000003A">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11/21/21</w:t>
    </w:r>
    <w:r w:rsidDel="00000000" w:rsidR="00000000" w:rsidRPr="00000000">
      <w:rPr>
        <w:rtl w:val="0"/>
      </w:rPr>
    </w:r>
  </w:p>
  <w:p w:rsidR="00000000" w:rsidDel="00000000" w:rsidP="00000000" w:rsidRDefault="00000000" w:rsidRPr="00000000" w14:paraId="0000003B">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