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B">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This could also be an icebreaker question related to the topic for discussion.</w:t>
      </w:r>
    </w:p>
    <w:p w:rsidR="00000000" w:rsidDel="00000000" w:rsidP="00000000" w:rsidRDefault="00000000" w:rsidRPr="00000000" w14:paraId="0000000C">
      <w:pPr>
        <w:ind w:left="720" w:firstLine="0"/>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u w:val="single"/>
          <w:rtl w:val="0"/>
        </w:rPr>
        <w:t xml:space="preserve">Current events check-in: the news out of Ukraine is heartbreaking. How is everyone doing in light of what is happening there? If people in the group are particularly impacted, plan to take time at the beginning of your small group meeting to pray for the situation, before moving on to discussing the sermon.</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you miss the mark on something, how do you usually feel? How do you usually respond? </w:t>
      </w:r>
    </w:p>
    <w:p w:rsidR="00000000" w:rsidDel="00000000" w:rsidP="00000000" w:rsidRDefault="00000000" w:rsidRPr="00000000" w14:paraId="0000000F">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first thing that comes to mind when you hear the word </w:t>
      </w:r>
      <w:r w:rsidDel="00000000" w:rsidR="00000000" w:rsidRPr="00000000">
        <w:rPr>
          <w:rFonts w:ascii="Montserrat" w:cs="Montserrat" w:eastAsia="Montserrat" w:hAnsi="Montserrat"/>
          <w:rtl w:val="0"/>
        </w:rPr>
        <w:t xml:space="preserve">sin</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and discuss a</w:t>
      </w:r>
      <w:r w:rsidDel="00000000" w:rsidR="00000000" w:rsidRPr="00000000">
        <w:rPr>
          <w:rFonts w:ascii="Montserrat" w:cs="Montserrat" w:eastAsia="Montserrat" w:hAnsi="Montserrat"/>
          <w:i w:val="1"/>
          <w:rtl w:val="0"/>
        </w:rPr>
        <w:t xml:space="preserve"> few questions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Invite 2-3 people in the group to read Psalm 32 out loud, in multiple translations if you have them. </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time for people to rewrite all or parts of Psalm 32 in their own words. Share your “translations” with the group.</w:t>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What does Psalm 32 say to us about God’s character?  </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What does Psalm 32 say to us about being human? </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What parts of David’s words in Psalm 32 do you relate to the most? What stands out to you?  </w:t>
        <w:tab/>
      </w: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has been your experience with confession to God or out loud to trusted people? </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hearing the sermon, what steps do you feel challenged to take to grow in the area of confession?</w:t>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Spend time together in prayer and confession. Pass out paper and pens to everyone in the group, and give individuals 5-8 minutes to reflect individually on Carlo’s question: </w:t>
      </w:r>
      <w:r w:rsidDel="00000000" w:rsidR="00000000" w:rsidRPr="00000000">
        <w:rPr>
          <w:rFonts w:ascii="Montserrat" w:cs="Montserrat" w:eastAsia="Montserrat" w:hAnsi="Montserrat"/>
          <w:i w:val="1"/>
          <w:rtl w:val="0"/>
        </w:rPr>
        <w:t xml:space="preserve">God, is there anywhere I’m missing the mark right now?. </w:t>
      </w:r>
    </w:p>
    <w:p w:rsidR="00000000" w:rsidDel="00000000" w:rsidP="00000000" w:rsidRDefault="00000000" w:rsidRPr="00000000" w14:paraId="00000028">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If it feels appropriate for your group (based on group maturity, how long you’ve been together, past experiences with confession), offer space for people to share with the group what God may have put on their hearts. </w:t>
      </w:r>
    </w:p>
    <w:p w:rsidR="00000000" w:rsidDel="00000000" w:rsidP="00000000" w:rsidRDefault="00000000" w:rsidRPr="00000000" w14:paraId="0000002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Missing the Mark - Carlo Furlan</w:t>
    </w:r>
  </w:p>
  <w:p w:rsidR="00000000" w:rsidDel="00000000" w:rsidP="00000000" w:rsidRDefault="00000000" w:rsidRPr="00000000" w14:paraId="0000002F">
    <w:pPr>
      <w:widowControl w:val="0"/>
      <w:spacing w:line="240" w:lineRule="auto"/>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February 27, 2022 </w:t>
    </w:r>
    <w:r w:rsidDel="00000000" w:rsidR="00000000" w:rsidRPr="00000000">
      <w:rPr>
        <w:rtl w:val="0"/>
      </w:rPr>
    </w:r>
  </w:p>
  <w:p w:rsidR="00000000" w:rsidDel="00000000" w:rsidP="00000000" w:rsidRDefault="00000000" w:rsidRPr="00000000" w14:paraId="00000030">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